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mnmtk2xqpat3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Template 1: Add a biological definition of sex/remove gender identity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Subject:</w:t>
      </w:r>
      <w:r w:rsidDel="00000000" w:rsidR="00000000" w:rsidRPr="00000000">
        <w:rPr>
          <w:sz w:val="24"/>
          <w:szCs w:val="24"/>
          <w:rtl w:val="0"/>
        </w:rPr>
        <w:t xml:space="preserve"> Request to amend the Equal Opportunity Act 2010 to define sex biologically and remove gender identity as a protected attribute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[MP’s Name / Minister],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writing as a concerned constituent from [your electorate/suburb] to request urgent reform of the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Equal Opportunity Act 2010</w:t>
      </w:r>
      <w:r w:rsidDel="00000000" w:rsidR="00000000" w:rsidRPr="00000000">
        <w:rPr>
          <w:sz w:val="24"/>
          <w:szCs w:val="24"/>
          <w:rtl w:val="0"/>
        </w:rPr>
        <w:t xml:space="preserve"> (Vic).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Currently, the Act does not define “sex”. It does, however, contain a very broad definition of “gender identity” based on self-perception, with no requirement for medical or legal transition. This has created significant legal uncertainty around single-sex spaces, services, and categories (such as women’s shelters, changing facilities, sport, and clubs), even where sex-based exceptions exist in the legislation.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restore clarity and protect women’s and girls’ privacy, safety, dignity, and fairness, I ask you to support amendments that would: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Insert a clear statutory definition of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sex</w:t>
      </w:r>
      <w:r w:rsidDel="00000000" w:rsidR="00000000" w:rsidRPr="00000000">
        <w:rPr>
          <w:sz w:val="24"/>
          <w:szCs w:val="24"/>
          <w:rtl w:val="0"/>
        </w:rPr>
        <w:t xml:space="preserve"> as biological sex (determined by chromosomes, reproductive anatomy, and gamete production at birth).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Remove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gender identity</w:t>
      </w:r>
      <w:r w:rsidDel="00000000" w:rsidR="00000000" w:rsidRPr="00000000">
        <w:rPr>
          <w:sz w:val="24"/>
          <w:szCs w:val="24"/>
          <w:rtl w:val="0"/>
        </w:rPr>
        <w:t xml:space="preserve"> as a standalone protected attribute under the Act.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These changes would allow organisations to maintain legitimate single-sex provisions without fear of overlapping or conflicting claims, while still protecting people from unfair treatment on other grounds.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Biological sex is an objective, immutable characteristic that underpins many existing protections and exceptions in the Act. Self-identified gender identity creates practical conflicts that undermine those protections.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would welcome the opportunity to discuss this further or provide additional information. Please confirm receipt of this correspondence and advise what action you will take.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Yours sincerely,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Full Name]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Address / Electorate]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[Phone number]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[Email address]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